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8"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4605"/>
        <w:gridCol w:w="3635"/>
        <w:gridCol w:w="1236"/>
      </w:tblGrid>
      <w:tr w:rsidR="005B1E63" w:rsidTr="005B1E63">
        <w:trPr>
          <w:trHeight w:hRule="exact" w:val="1130"/>
          <w:jc w:val="center"/>
        </w:trPr>
        <w:tc>
          <w:tcPr>
            <w:tcW w:w="970" w:type="dxa"/>
            <w:tcBorders>
              <w:top w:val="single" w:sz="4" w:space="0" w:color="auto"/>
              <w:left w:val="single" w:sz="4" w:space="0" w:color="auto"/>
              <w:bottom w:val="single" w:sz="4" w:space="0" w:color="auto"/>
              <w:right w:val="nil"/>
            </w:tcBorders>
            <w:hideMark/>
          </w:tcPr>
          <w:p w:rsidR="005B1E63" w:rsidRDefault="005B1E63">
            <w:pPr>
              <w:widowControl w:val="0"/>
              <w:tabs>
                <w:tab w:val="left" w:pos="1872"/>
              </w:tabs>
              <w:autoSpaceDE w:val="0"/>
              <w:autoSpaceDN w:val="0"/>
              <w:adjustRightInd w:val="0"/>
              <w:rPr>
                <w:color w:val="000000"/>
              </w:rPr>
            </w:pPr>
            <w:r>
              <w:rPr>
                <w:noProof/>
              </w:rPr>
              <w:drawing>
                <wp:anchor distT="0" distB="0" distL="114300" distR="114300" simplePos="0" relativeHeight="251658240" behindDoc="0" locked="0" layoutInCell="1" allowOverlap="1">
                  <wp:simplePos x="0" y="0"/>
                  <wp:positionH relativeFrom="column">
                    <wp:posOffset>12065</wp:posOffset>
                  </wp:positionH>
                  <wp:positionV relativeFrom="paragraph">
                    <wp:posOffset>30480</wp:posOffset>
                  </wp:positionV>
                  <wp:extent cx="485775" cy="638175"/>
                  <wp:effectExtent l="0" t="0" r="9525" b="9525"/>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38175"/>
                          </a:xfrm>
                          <a:prstGeom prst="rect">
                            <a:avLst/>
                          </a:prstGeom>
                          <a:noFill/>
                        </pic:spPr>
                      </pic:pic>
                    </a:graphicData>
                  </a:graphic>
                  <wp14:sizeRelH relativeFrom="page">
                    <wp14:pctWidth>0</wp14:pctWidth>
                  </wp14:sizeRelH>
                  <wp14:sizeRelV relativeFrom="page">
                    <wp14:pctHeight>0</wp14:pctHeight>
                  </wp14:sizeRelV>
                </wp:anchor>
              </w:drawing>
            </w:r>
          </w:p>
        </w:tc>
        <w:tc>
          <w:tcPr>
            <w:tcW w:w="4626" w:type="dxa"/>
            <w:tcBorders>
              <w:top w:val="single" w:sz="4" w:space="0" w:color="auto"/>
              <w:left w:val="nil"/>
              <w:bottom w:val="single" w:sz="4" w:space="0" w:color="auto"/>
              <w:right w:val="single" w:sz="4" w:space="0" w:color="auto"/>
            </w:tcBorders>
            <w:vAlign w:val="center"/>
            <w:hideMark/>
          </w:tcPr>
          <w:p w:rsidR="005B1E63" w:rsidRDefault="005B1E63">
            <w:pPr>
              <w:tabs>
                <w:tab w:val="left" w:pos="1872"/>
              </w:tabs>
              <w:autoSpaceDE w:val="0"/>
              <w:autoSpaceDN w:val="0"/>
              <w:adjustRightInd w:val="0"/>
              <w:spacing w:before="20" w:line="280" w:lineRule="exact"/>
              <w:rPr>
                <w:b/>
                <w:bCs/>
                <w:color w:val="000000"/>
              </w:rPr>
            </w:pPr>
            <w:r>
              <w:rPr>
                <w:b/>
                <w:bCs/>
                <w:color w:val="000000"/>
              </w:rPr>
              <w:t>Cytogenetická laboratoř Brno</w:t>
            </w:r>
          </w:p>
          <w:p w:rsidR="005B1E63" w:rsidRDefault="005B1E63">
            <w:pPr>
              <w:tabs>
                <w:tab w:val="left" w:pos="1872"/>
              </w:tabs>
              <w:autoSpaceDE w:val="0"/>
              <w:autoSpaceDN w:val="0"/>
              <w:adjustRightInd w:val="0"/>
              <w:spacing w:line="280" w:lineRule="exact"/>
              <w:ind w:right="-108"/>
              <w:rPr>
                <w:color w:val="000000"/>
                <w:sz w:val="20"/>
                <w:szCs w:val="20"/>
              </w:rPr>
            </w:pPr>
            <w:r>
              <w:rPr>
                <w:color w:val="000000"/>
                <w:sz w:val="20"/>
                <w:szCs w:val="20"/>
              </w:rPr>
              <w:t>Veveří 476/39, 602 00 Brno</w:t>
            </w:r>
            <w:r>
              <w:rPr>
                <w:b/>
                <w:i/>
                <w:color w:val="000000"/>
                <w:sz w:val="20"/>
                <w:szCs w:val="20"/>
              </w:rPr>
              <w:t xml:space="preserve"> </w:t>
            </w:r>
          </w:p>
          <w:p w:rsidR="005B1E63" w:rsidRDefault="00F36700">
            <w:pPr>
              <w:tabs>
                <w:tab w:val="left" w:pos="1872"/>
              </w:tabs>
              <w:autoSpaceDE w:val="0"/>
              <w:autoSpaceDN w:val="0"/>
              <w:adjustRightInd w:val="0"/>
              <w:rPr>
                <w:color w:val="000000"/>
                <w:sz w:val="20"/>
                <w:szCs w:val="20"/>
              </w:rPr>
            </w:pPr>
            <w:hyperlink r:id="rId7" w:history="1">
              <w:r w:rsidR="005B1E63">
                <w:rPr>
                  <w:rStyle w:val="Hypertextovodkaz"/>
                  <w:sz w:val="20"/>
                  <w:szCs w:val="20"/>
                </w:rPr>
                <w:t>www.cytogenetika.cz</w:t>
              </w:r>
            </w:hyperlink>
            <w:r w:rsidR="005B1E63">
              <w:rPr>
                <w:color w:val="000000"/>
                <w:sz w:val="20"/>
                <w:szCs w:val="20"/>
              </w:rPr>
              <w:t xml:space="preserve"> , telefon: +420 545 247 489</w:t>
            </w:r>
          </w:p>
          <w:p w:rsidR="005B1E63" w:rsidRDefault="005B1E63">
            <w:pPr>
              <w:tabs>
                <w:tab w:val="left" w:pos="1872"/>
              </w:tabs>
              <w:autoSpaceDE w:val="0"/>
              <w:autoSpaceDN w:val="0"/>
              <w:adjustRightInd w:val="0"/>
              <w:spacing w:after="120"/>
              <w:rPr>
                <w:color w:val="000000"/>
              </w:rPr>
            </w:pPr>
            <w:r>
              <w:rPr>
                <w:color w:val="000000"/>
                <w:sz w:val="20"/>
                <w:szCs w:val="20"/>
              </w:rPr>
              <w:t xml:space="preserve">e-mail: </w:t>
            </w:r>
            <w:hyperlink r:id="rId8" w:history="1">
              <w:r>
                <w:rPr>
                  <w:rStyle w:val="Hypertextovodkaz"/>
                  <w:sz w:val="20"/>
                  <w:szCs w:val="20"/>
                </w:rPr>
                <w:t>cytogenetika@cytogenetika.cz</w:t>
              </w:r>
            </w:hyperlink>
          </w:p>
        </w:tc>
        <w:tc>
          <w:tcPr>
            <w:tcW w:w="3661" w:type="dxa"/>
            <w:tcBorders>
              <w:top w:val="single" w:sz="4" w:space="0" w:color="auto"/>
              <w:left w:val="single" w:sz="4" w:space="0" w:color="auto"/>
              <w:bottom w:val="single" w:sz="4" w:space="0" w:color="auto"/>
              <w:right w:val="nil"/>
            </w:tcBorders>
            <w:vAlign w:val="center"/>
            <w:hideMark/>
          </w:tcPr>
          <w:p w:rsidR="005B1E63" w:rsidRDefault="005B1E63">
            <w:pPr>
              <w:widowControl w:val="0"/>
              <w:tabs>
                <w:tab w:val="left" w:pos="1872"/>
              </w:tabs>
              <w:autoSpaceDE w:val="0"/>
              <w:autoSpaceDN w:val="0"/>
              <w:adjustRightInd w:val="0"/>
              <w:spacing w:line="260" w:lineRule="exact"/>
              <w:jc w:val="center"/>
              <w:rPr>
                <w:i/>
                <w:color w:val="000000"/>
                <w:sz w:val="20"/>
                <w:szCs w:val="20"/>
              </w:rPr>
            </w:pPr>
            <w:r>
              <w:rPr>
                <w:i/>
                <w:color w:val="000000"/>
                <w:sz w:val="20"/>
                <w:szCs w:val="20"/>
              </w:rPr>
              <w:t xml:space="preserve">Zdravotnická laboratoř č. 8067 akreditovaná ČIA  </w:t>
            </w:r>
          </w:p>
          <w:p w:rsidR="005B1E63" w:rsidRDefault="005B1E63">
            <w:pPr>
              <w:widowControl w:val="0"/>
              <w:tabs>
                <w:tab w:val="left" w:pos="1872"/>
              </w:tabs>
              <w:autoSpaceDE w:val="0"/>
              <w:autoSpaceDN w:val="0"/>
              <w:adjustRightInd w:val="0"/>
              <w:spacing w:line="260" w:lineRule="exact"/>
              <w:jc w:val="center"/>
              <w:rPr>
                <w:i/>
                <w:color w:val="000000"/>
                <w:sz w:val="20"/>
                <w:szCs w:val="20"/>
              </w:rPr>
            </w:pPr>
            <w:r>
              <w:rPr>
                <w:i/>
                <w:color w:val="000000"/>
                <w:sz w:val="20"/>
                <w:szCs w:val="20"/>
              </w:rPr>
              <w:t>dle ČSN EN ISO 15189: 2013</w:t>
            </w:r>
          </w:p>
        </w:tc>
        <w:tc>
          <w:tcPr>
            <w:tcW w:w="1181" w:type="dxa"/>
            <w:tcBorders>
              <w:top w:val="single" w:sz="4" w:space="0" w:color="auto"/>
              <w:left w:val="nil"/>
              <w:bottom w:val="single" w:sz="4" w:space="0" w:color="auto"/>
              <w:right w:val="single" w:sz="4" w:space="0" w:color="auto"/>
            </w:tcBorders>
            <w:vAlign w:val="center"/>
            <w:hideMark/>
          </w:tcPr>
          <w:p w:rsidR="005B1E63" w:rsidRDefault="005B1E63">
            <w:pPr>
              <w:rPr>
                <w:color w:val="000000"/>
              </w:rPr>
            </w:pPr>
            <w:r>
              <w:rPr>
                <w:noProof/>
                <w:color w:val="000000"/>
              </w:rPr>
              <w:drawing>
                <wp:inline distT="0" distB="0" distL="0" distR="0">
                  <wp:extent cx="638175" cy="609600"/>
                  <wp:effectExtent l="0" t="0" r="9525" b="0"/>
                  <wp:docPr id="1" name="Obrázek 1" descr="CM%208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2080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inline>
              </w:drawing>
            </w:r>
          </w:p>
        </w:tc>
      </w:tr>
    </w:tbl>
    <w:p w:rsidR="0015327F" w:rsidRDefault="0015327F"/>
    <w:p w:rsidR="005B1E63" w:rsidRPr="00973717" w:rsidRDefault="001529F4" w:rsidP="00192D04">
      <w:pPr>
        <w:jc w:val="both"/>
        <w:rPr>
          <w:b/>
        </w:rPr>
      </w:pPr>
      <w:r w:rsidRPr="00973717">
        <w:rPr>
          <w:b/>
        </w:rPr>
        <w:t xml:space="preserve">Informace pro lékaře - </w:t>
      </w:r>
      <w:r w:rsidR="00751167" w:rsidRPr="00973717">
        <w:rPr>
          <w:b/>
        </w:rPr>
        <w:t>vyšetř</w:t>
      </w:r>
      <w:r w:rsidRPr="00973717">
        <w:rPr>
          <w:b/>
        </w:rPr>
        <w:t>ení</w:t>
      </w:r>
      <w:r w:rsidR="00751167" w:rsidRPr="00973717">
        <w:rPr>
          <w:b/>
        </w:rPr>
        <w:t xml:space="preserve"> SARS-CoV-2</w:t>
      </w:r>
    </w:p>
    <w:p w:rsidR="00A33B02" w:rsidRPr="00192D04" w:rsidRDefault="00A33B02" w:rsidP="00192D04">
      <w:pPr>
        <w:jc w:val="both"/>
      </w:pPr>
    </w:p>
    <w:p w:rsidR="00751167" w:rsidRPr="00192D04" w:rsidRDefault="006400A9" w:rsidP="00192D04">
      <w:pPr>
        <w:jc w:val="both"/>
      </w:pPr>
      <w:r w:rsidRPr="00192D04">
        <w:t>Vážená paní doktorko, vážený pane doktore</w:t>
      </w:r>
      <w:r w:rsidR="00751167" w:rsidRPr="00192D04">
        <w:t xml:space="preserve">, </w:t>
      </w:r>
    </w:p>
    <w:p w:rsidR="00751167" w:rsidRPr="00192D04" w:rsidRDefault="00751167" w:rsidP="00192D04">
      <w:pPr>
        <w:jc w:val="both"/>
      </w:pPr>
    </w:p>
    <w:p w:rsidR="00751167" w:rsidRPr="00192D04" w:rsidRDefault="006400A9" w:rsidP="00192D04">
      <w:pPr>
        <w:jc w:val="both"/>
      </w:pPr>
      <w:r w:rsidRPr="00192D04">
        <w:t>na základě povolení MZČR jsme by</w:t>
      </w:r>
      <w:r w:rsidR="00C101F4">
        <w:t>ly zařazeni mezi laboratoře, kt</w:t>
      </w:r>
      <w:r w:rsidRPr="00192D04">
        <w:t>eré mohou vyšetřovat původce onemocnění COVID-19.</w:t>
      </w:r>
    </w:p>
    <w:p w:rsidR="006400A9" w:rsidRPr="00192D04" w:rsidRDefault="006400A9" w:rsidP="00192D04">
      <w:pPr>
        <w:jc w:val="both"/>
      </w:pPr>
    </w:p>
    <w:p w:rsidR="006400A9" w:rsidRPr="00192D04" w:rsidRDefault="006400A9" w:rsidP="00192D04">
      <w:pPr>
        <w:jc w:val="both"/>
      </w:pPr>
      <w:r w:rsidRPr="00192D04">
        <w:t>Vyšetření bude prováděno pomocí metody</w:t>
      </w:r>
      <w:r w:rsidR="00E718E2" w:rsidRPr="00192D04">
        <w:t xml:space="preserve"> </w:t>
      </w:r>
      <w:proofErr w:type="spellStart"/>
      <w:r w:rsidR="00E718E2" w:rsidRPr="00192D04">
        <w:t>real</w:t>
      </w:r>
      <w:proofErr w:type="spellEnd"/>
      <w:r w:rsidR="00E718E2" w:rsidRPr="00192D04">
        <w:t xml:space="preserve"> </w:t>
      </w:r>
      <w:proofErr w:type="spellStart"/>
      <w:r w:rsidR="00E718E2" w:rsidRPr="00192D04">
        <w:t>time</w:t>
      </w:r>
      <w:proofErr w:type="spellEnd"/>
      <w:r w:rsidR="00E718E2" w:rsidRPr="00192D04">
        <w:t xml:space="preserve"> PCR (metoda doporučená WHO</w:t>
      </w:r>
      <w:r w:rsidR="00D26762" w:rsidRPr="00192D04">
        <w:t>- 2 cíle v genomu n-</w:t>
      </w:r>
      <w:proofErr w:type="spellStart"/>
      <w:r w:rsidR="00D26762" w:rsidRPr="00192D04">
        <w:t>CoV</w:t>
      </w:r>
      <w:proofErr w:type="spellEnd"/>
      <w:r w:rsidR="00D26762" w:rsidRPr="00192D04">
        <w:t>).</w:t>
      </w:r>
    </w:p>
    <w:p w:rsidR="00E718E2" w:rsidRPr="00192D04" w:rsidRDefault="00E718E2" w:rsidP="00192D04">
      <w:pPr>
        <w:jc w:val="both"/>
      </w:pPr>
    </w:p>
    <w:p w:rsidR="00D26762" w:rsidRPr="00192D04" w:rsidRDefault="006400A9" w:rsidP="00192D04">
      <w:pPr>
        <w:jc w:val="both"/>
      </w:pPr>
      <w:r w:rsidRPr="00192D04">
        <w:rPr>
          <w:b/>
          <w:u w:val="single"/>
        </w:rPr>
        <w:t>Požadavky na odběr</w:t>
      </w:r>
      <w:r w:rsidRPr="00192D04">
        <w:t>:</w:t>
      </w:r>
      <w:r w:rsidR="00E718E2" w:rsidRPr="00192D04">
        <w:t xml:space="preserve"> </w:t>
      </w:r>
    </w:p>
    <w:p w:rsidR="00751167" w:rsidRDefault="00E718E2" w:rsidP="00192D04">
      <w:pPr>
        <w:pStyle w:val="Odstavecseseznamem"/>
        <w:numPr>
          <w:ilvl w:val="0"/>
          <w:numId w:val="4"/>
        </w:numPr>
        <w:jc w:val="both"/>
      </w:pPr>
      <w:proofErr w:type="spellStart"/>
      <w:r w:rsidRPr="00192D04">
        <w:rPr>
          <w:b/>
        </w:rPr>
        <w:t>na</w:t>
      </w:r>
      <w:r w:rsidR="00D26762" w:rsidRPr="00192D04">
        <w:rPr>
          <w:b/>
        </w:rPr>
        <w:t>s</w:t>
      </w:r>
      <w:r w:rsidRPr="00192D04">
        <w:rPr>
          <w:b/>
        </w:rPr>
        <w:t>ofaryngeální</w:t>
      </w:r>
      <w:proofErr w:type="spellEnd"/>
      <w:r w:rsidRPr="00192D04">
        <w:rPr>
          <w:b/>
        </w:rPr>
        <w:t xml:space="preserve"> výtěr </w:t>
      </w:r>
      <w:r w:rsidRPr="00192D04">
        <w:t>(</w:t>
      </w:r>
      <w:r w:rsidR="00D26762" w:rsidRPr="00192D04">
        <w:t xml:space="preserve">2 stěry: nosohltan nosem + patrové oblouky. Stěr z obou nosních dírek se provádí jedním tamponem a stěr z krku tamponem druhým. Obě </w:t>
      </w:r>
      <w:proofErr w:type="spellStart"/>
      <w:r w:rsidR="00D26762" w:rsidRPr="00192D04">
        <w:t>stěrové</w:t>
      </w:r>
      <w:proofErr w:type="spellEnd"/>
      <w:r w:rsidR="00D26762" w:rsidRPr="00192D04">
        <w:t xml:space="preserve"> tyčinky se zalomí do jedné zkumavky s v</w:t>
      </w:r>
      <w:r w:rsidR="004D749C">
        <w:t>irologickým transportním médiem</w:t>
      </w:r>
      <w:r w:rsidRPr="00192D04">
        <w:t>)</w:t>
      </w:r>
      <w:r w:rsidR="0075289C">
        <w:t xml:space="preserve"> </w:t>
      </w:r>
      <w:r w:rsidR="0075289C" w:rsidRPr="0075289C">
        <w:rPr>
          <w:i/>
        </w:rPr>
        <w:t xml:space="preserve">viz: doporučený postup </w:t>
      </w:r>
      <w:r w:rsidR="00087B8A" w:rsidRPr="00087B8A">
        <w:rPr>
          <w:rStyle w:val="Siln"/>
          <w:b w:val="0"/>
          <w:i/>
          <w:color w:val="000000"/>
        </w:rPr>
        <w:t xml:space="preserve">při provádění </w:t>
      </w:r>
      <w:proofErr w:type="spellStart"/>
      <w:r w:rsidR="00087B8A" w:rsidRPr="00087B8A">
        <w:rPr>
          <w:rStyle w:val="Siln"/>
          <w:b w:val="0"/>
          <w:i/>
          <w:color w:val="000000"/>
        </w:rPr>
        <w:t>nazofaryngeálního</w:t>
      </w:r>
      <w:proofErr w:type="spellEnd"/>
      <w:r w:rsidR="00087B8A" w:rsidRPr="00087B8A">
        <w:rPr>
          <w:rStyle w:val="Siln"/>
          <w:b w:val="0"/>
          <w:i/>
          <w:color w:val="000000"/>
        </w:rPr>
        <w:t xml:space="preserve"> výtěru</w:t>
      </w:r>
    </w:p>
    <w:p w:rsidR="0004232B" w:rsidRDefault="0004232B" w:rsidP="00192D04">
      <w:pPr>
        <w:pStyle w:val="Odstavecseseznamem"/>
        <w:numPr>
          <w:ilvl w:val="0"/>
          <w:numId w:val="4"/>
        </w:numPr>
        <w:jc w:val="both"/>
      </w:pPr>
      <w:r w:rsidRPr="004D0DAD">
        <w:rPr>
          <w:b/>
        </w:rPr>
        <w:t>všechna místa zajišťující odběr</w:t>
      </w:r>
      <w:r>
        <w:t xml:space="preserve"> vzorků jsou dle MZ</w:t>
      </w:r>
      <w:r w:rsidR="00087B8A">
        <w:t>Č</w:t>
      </w:r>
      <w:r>
        <w:t>R</w:t>
      </w:r>
      <w:r w:rsidR="000C69A3">
        <w:t xml:space="preserve"> (mimořádné opatření ze dne </w:t>
      </w:r>
      <w:proofErr w:type="gramStart"/>
      <w:r w:rsidR="000C69A3">
        <w:t>16.3.2020</w:t>
      </w:r>
      <w:proofErr w:type="gramEnd"/>
      <w:r w:rsidR="000C69A3">
        <w:t>)</w:t>
      </w:r>
      <w:r>
        <w:t xml:space="preserve"> </w:t>
      </w:r>
      <w:r w:rsidRPr="004D0DAD">
        <w:rPr>
          <w:b/>
        </w:rPr>
        <w:t xml:space="preserve">povinna zajistit vyplnění žádanky </w:t>
      </w:r>
      <w:r>
        <w:t xml:space="preserve">pro laboratorní vyšetření obsahující </w:t>
      </w:r>
      <w:r w:rsidRPr="004D0DAD">
        <w:rPr>
          <w:b/>
        </w:rPr>
        <w:t>minimálně tyto údaje</w:t>
      </w:r>
      <w:r>
        <w:t>:</w:t>
      </w:r>
    </w:p>
    <w:p w:rsidR="0004232B" w:rsidRDefault="0004232B" w:rsidP="0004232B">
      <w:pPr>
        <w:pStyle w:val="Odstavecseseznamem"/>
        <w:numPr>
          <w:ilvl w:val="1"/>
          <w:numId w:val="4"/>
        </w:numPr>
        <w:jc w:val="both"/>
      </w:pPr>
      <w:r>
        <w:t>jméno, příjmení</w:t>
      </w:r>
    </w:p>
    <w:p w:rsidR="0004232B" w:rsidRDefault="0004232B" w:rsidP="0004232B">
      <w:pPr>
        <w:pStyle w:val="Odstavecseseznamem"/>
        <w:numPr>
          <w:ilvl w:val="1"/>
          <w:numId w:val="4"/>
        </w:numPr>
        <w:jc w:val="both"/>
      </w:pPr>
      <w:r>
        <w:t>rodné číslo</w:t>
      </w:r>
    </w:p>
    <w:p w:rsidR="0004232B" w:rsidRDefault="0004232B" w:rsidP="0004232B">
      <w:pPr>
        <w:pStyle w:val="Odstavecseseznamem"/>
        <w:numPr>
          <w:ilvl w:val="1"/>
          <w:numId w:val="4"/>
        </w:numPr>
        <w:jc w:val="both"/>
      </w:pPr>
      <w:r>
        <w:t>datum narození</w:t>
      </w:r>
    </w:p>
    <w:p w:rsidR="0004232B" w:rsidRDefault="0004232B" w:rsidP="0004232B">
      <w:pPr>
        <w:pStyle w:val="Odstavecseseznamem"/>
        <w:numPr>
          <w:ilvl w:val="1"/>
          <w:numId w:val="4"/>
        </w:numPr>
        <w:jc w:val="both"/>
      </w:pPr>
      <w:r>
        <w:t>místo pobytu: obec, ulice, číslo popisné</w:t>
      </w:r>
    </w:p>
    <w:p w:rsidR="0004232B" w:rsidRDefault="000C69A3" w:rsidP="0004232B">
      <w:pPr>
        <w:pStyle w:val="Odstavecseseznamem"/>
        <w:numPr>
          <w:ilvl w:val="1"/>
          <w:numId w:val="4"/>
        </w:numPr>
        <w:jc w:val="both"/>
      </w:pPr>
      <w:r>
        <w:t>PSČ</w:t>
      </w:r>
    </w:p>
    <w:p w:rsidR="000C69A3" w:rsidRPr="00192D04" w:rsidRDefault="000C69A3" w:rsidP="0004232B">
      <w:pPr>
        <w:pStyle w:val="Odstavecseseznamem"/>
        <w:numPr>
          <w:ilvl w:val="1"/>
          <w:numId w:val="4"/>
        </w:numPr>
        <w:jc w:val="both"/>
      </w:pPr>
      <w:r>
        <w:t xml:space="preserve">telefonní kontakt </w:t>
      </w:r>
      <w:r w:rsidR="00270863">
        <w:t>a email</w:t>
      </w:r>
      <w:r>
        <w:t xml:space="preserve"> vyšetřovaného</w:t>
      </w:r>
    </w:p>
    <w:p w:rsidR="00973717" w:rsidRPr="003B7342" w:rsidRDefault="00D26762" w:rsidP="00192D04">
      <w:pPr>
        <w:pStyle w:val="Odstavecseseznamem"/>
        <w:numPr>
          <w:ilvl w:val="0"/>
          <w:numId w:val="4"/>
        </w:numPr>
        <w:jc w:val="both"/>
      </w:pPr>
      <w:r w:rsidRPr="00192D04">
        <w:rPr>
          <w:b/>
        </w:rPr>
        <w:t>žádanka</w:t>
      </w:r>
      <w:r w:rsidR="000C69A3">
        <w:rPr>
          <w:b/>
        </w:rPr>
        <w:t xml:space="preserve"> </w:t>
      </w:r>
      <w:r w:rsidR="000C69A3" w:rsidRPr="000C69A3">
        <w:rPr>
          <w:b/>
        </w:rPr>
        <w:t>je</w:t>
      </w:r>
      <w:r w:rsidRPr="000C69A3">
        <w:rPr>
          <w:b/>
        </w:rPr>
        <w:t xml:space="preserve"> </w:t>
      </w:r>
      <w:r w:rsidR="00973717" w:rsidRPr="000C69A3">
        <w:rPr>
          <w:b/>
        </w:rPr>
        <w:t>ke stažení na</w:t>
      </w:r>
      <w:r w:rsidR="00973717" w:rsidRPr="003B7342">
        <w:t>:</w:t>
      </w:r>
      <w:r w:rsidR="00496266" w:rsidRPr="003B7342">
        <w:rPr>
          <w:i/>
        </w:rPr>
        <w:t xml:space="preserve"> </w:t>
      </w:r>
      <w:r w:rsidR="00087B8A">
        <w:rPr>
          <w:i/>
        </w:rPr>
        <w:t xml:space="preserve">www. </w:t>
      </w:r>
      <w:proofErr w:type="gramStart"/>
      <w:r w:rsidR="00087B8A">
        <w:rPr>
          <w:i/>
        </w:rPr>
        <w:t>cytogenetika</w:t>
      </w:r>
      <w:proofErr w:type="gramEnd"/>
      <w:r w:rsidR="00087B8A">
        <w:rPr>
          <w:i/>
        </w:rPr>
        <w:t>.cz/</w:t>
      </w:r>
      <w:r w:rsidR="00496266" w:rsidRPr="003B7342">
        <w:rPr>
          <w:i/>
        </w:rPr>
        <w:t>ke stažení</w:t>
      </w:r>
    </w:p>
    <w:p w:rsidR="004D0DAD" w:rsidRPr="00973717" w:rsidRDefault="004D0DAD" w:rsidP="004D0DAD">
      <w:pPr>
        <w:ind w:left="360"/>
        <w:jc w:val="both"/>
      </w:pPr>
    </w:p>
    <w:p w:rsidR="005054E2" w:rsidRPr="00192D04" w:rsidRDefault="005054E2" w:rsidP="00192D04">
      <w:pPr>
        <w:pStyle w:val="Odstavecseseznamem"/>
        <w:numPr>
          <w:ilvl w:val="0"/>
          <w:numId w:val="4"/>
        </w:numPr>
        <w:jc w:val="both"/>
      </w:pPr>
      <w:r w:rsidRPr="00192D04">
        <w:rPr>
          <w:b/>
          <w:bCs/>
          <w:color w:val="DC3545"/>
          <w:u w:val="single"/>
          <w:shd w:val="clear" w:color="auto" w:fill="FFFFFF"/>
        </w:rPr>
        <w:t>V </w:t>
      </w:r>
      <w:r w:rsidR="00192D04" w:rsidRPr="00192D04">
        <w:rPr>
          <w:b/>
          <w:bCs/>
          <w:color w:val="DC3545"/>
          <w:u w:val="single"/>
          <w:shd w:val="clear" w:color="auto" w:fill="FFFFFF"/>
        </w:rPr>
        <w:t>labo</w:t>
      </w:r>
      <w:r w:rsidRPr="00192D04">
        <w:rPr>
          <w:b/>
          <w:bCs/>
          <w:color w:val="DC3545"/>
          <w:u w:val="single"/>
          <w:shd w:val="clear" w:color="auto" w:fill="FFFFFF"/>
        </w:rPr>
        <w:t>ratoři NEPROVÁDÍME odběr vzorků</w:t>
      </w:r>
      <w:r w:rsidRPr="00192D04">
        <w:rPr>
          <w:b/>
          <w:bCs/>
          <w:color w:val="DC3545"/>
          <w:shd w:val="clear" w:color="auto" w:fill="FFFFFF"/>
        </w:rPr>
        <w:t> pro vyšetření COVID-19.</w:t>
      </w:r>
    </w:p>
    <w:p w:rsidR="006400A9" w:rsidRPr="00192D04" w:rsidRDefault="006400A9" w:rsidP="00192D04">
      <w:pPr>
        <w:jc w:val="both"/>
      </w:pPr>
    </w:p>
    <w:p w:rsidR="00A04BB7" w:rsidRPr="00192D04" w:rsidRDefault="00E718E2" w:rsidP="00192D04">
      <w:pPr>
        <w:jc w:val="both"/>
      </w:pPr>
      <w:r w:rsidRPr="00192D04">
        <w:rPr>
          <w:b/>
          <w:u w:val="single"/>
        </w:rPr>
        <w:t>Pokyny pro transport</w:t>
      </w:r>
      <w:r w:rsidRPr="00192D04">
        <w:t>:</w:t>
      </w:r>
    </w:p>
    <w:p w:rsidR="00D26762" w:rsidRPr="00192D04" w:rsidRDefault="00D26762" w:rsidP="00192D04">
      <w:pPr>
        <w:pStyle w:val="Odstavecseseznamem"/>
        <w:numPr>
          <w:ilvl w:val="0"/>
          <w:numId w:val="4"/>
        </w:numPr>
        <w:jc w:val="both"/>
      </w:pPr>
      <w:r w:rsidRPr="00192D04">
        <w:t>Odebr</w:t>
      </w:r>
      <w:r w:rsidR="004D749C">
        <w:t>ané vzorky uchovávat i během tr</w:t>
      </w:r>
      <w:r w:rsidRPr="00192D04">
        <w:t>a</w:t>
      </w:r>
      <w:r w:rsidR="004D749C">
        <w:t>n</w:t>
      </w:r>
      <w:r w:rsidRPr="00192D04">
        <w:t>spor</w:t>
      </w:r>
      <w:r w:rsidR="00C101F4">
        <w:t>t</w:t>
      </w:r>
      <w:r w:rsidRPr="00192D04">
        <w:t xml:space="preserve">u při teplotě 1 až 5°C. </w:t>
      </w:r>
    </w:p>
    <w:p w:rsidR="003B7342" w:rsidRDefault="00D26762" w:rsidP="006400A9">
      <w:pPr>
        <w:pStyle w:val="Odstavecseseznamem"/>
        <w:numPr>
          <w:ilvl w:val="0"/>
          <w:numId w:val="4"/>
        </w:numPr>
        <w:jc w:val="both"/>
      </w:pPr>
      <w:r w:rsidRPr="00192D04">
        <w:t xml:space="preserve">odebrané vzorky je nutné transportovat </w:t>
      </w:r>
      <w:r w:rsidRPr="009477E1">
        <w:rPr>
          <w:b/>
        </w:rPr>
        <w:t xml:space="preserve">v trojobalu </w:t>
      </w:r>
      <w:r w:rsidR="00087B8A">
        <w:rPr>
          <w:b/>
        </w:rPr>
        <w:t xml:space="preserve">např. </w:t>
      </w:r>
      <w:r w:rsidRPr="009477E1">
        <w:rPr>
          <w:b/>
        </w:rPr>
        <w:t>UN3373</w:t>
      </w:r>
      <w:r w:rsidRPr="00192D04">
        <w:t xml:space="preserve"> dle pokynů SZÚ</w:t>
      </w:r>
      <w:r w:rsidR="003B7342">
        <w:t xml:space="preserve"> </w:t>
      </w:r>
    </w:p>
    <w:p w:rsidR="003B7342" w:rsidRDefault="003B7342" w:rsidP="00C101F4">
      <w:pPr>
        <w:pStyle w:val="Odstavecseseznamem"/>
        <w:numPr>
          <w:ilvl w:val="1"/>
          <w:numId w:val="4"/>
        </w:numPr>
        <w:jc w:val="both"/>
        <w:rPr>
          <w:b/>
          <w:color w:val="FF0000"/>
        </w:rPr>
      </w:pPr>
      <w:r>
        <w:rPr>
          <w:b/>
          <w:color w:val="FF0000"/>
        </w:rPr>
        <w:t>Vzorky odděleně od žádanek!!</w:t>
      </w:r>
    </w:p>
    <w:p w:rsidR="00087B8A" w:rsidRPr="00087B8A" w:rsidRDefault="00087B8A" w:rsidP="00C101F4">
      <w:pPr>
        <w:pStyle w:val="Odstavecseseznamem"/>
        <w:numPr>
          <w:ilvl w:val="1"/>
          <w:numId w:val="4"/>
        </w:numPr>
        <w:jc w:val="both"/>
        <w:rPr>
          <w:b/>
          <w:u w:val="single"/>
        </w:rPr>
      </w:pPr>
      <w:r w:rsidRPr="00087B8A">
        <w:rPr>
          <w:b/>
          <w:u w:val="single"/>
        </w:rPr>
        <w:t>příklad trojobalu:</w:t>
      </w:r>
    </w:p>
    <w:p w:rsidR="003B7342" w:rsidRDefault="003B7342" w:rsidP="003B7342">
      <w:pPr>
        <w:pStyle w:val="Odstavecseseznamem"/>
        <w:numPr>
          <w:ilvl w:val="1"/>
          <w:numId w:val="4"/>
        </w:numPr>
        <w:jc w:val="both"/>
      </w:pPr>
      <w:r w:rsidRPr="003B7342">
        <w:rPr>
          <w:b/>
        </w:rPr>
        <w:t>první vrstva</w:t>
      </w:r>
      <w:r>
        <w:t>: nádoba – musí být vodotěsná, nepropustná, označená</w:t>
      </w:r>
      <w:r w:rsidR="00087B8A">
        <w:t xml:space="preserve"> (</w:t>
      </w:r>
      <w:r w:rsidR="00087B8A" w:rsidRPr="003B7342">
        <w:rPr>
          <w:b/>
        </w:rPr>
        <w:t>nejlépe šroubovací zkumavka s těsněním ve víčku</w:t>
      </w:r>
      <w:r w:rsidR="00087B8A">
        <w:t xml:space="preserve">) </w:t>
      </w:r>
      <w:r>
        <w:t xml:space="preserve">a zabalená do vrstvy savého absorpčního materiálu pro případ poškození nádoby v takovém množství, aby pojal všechnu tekutinu obsaženou v primárním obalu </w:t>
      </w:r>
    </w:p>
    <w:p w:rsidR="003B7342" w:rsidRDefault="003B7342" w:rsidP="003B7342">
      <w:pPr>
        <w:pStyle w:val="Odstavecseseznamem"/>
        <w:numPr>
          <w:ilvl w:val="1"/>
          <w:numId w:val="4"/>
        </w:numPr>
        <w:jc w:val="both"/>
      </w:pPr>
      <w:r>
        <w:rPr>
          <w:b/>
        </w:rPr>
        <w:t>druhá vrstva</w:t>
      </w:r>
      <w:r w:rsidRPr="003B7342">
        <w:t>:</w:t>
      </w:r>
      <w:r>
        <w:t xml:space="preserve"> vodotěsná, nepropustná vrstva je použita k uzavření a ochraně primárního obalu. Velikost by měla odpovídat velikosti zasílaného vzorku. Pokud je druhou vrstvou sáček, je vhodné jej uzavřít lepicí páskou (nepoužívat sponky, špendlíky, sešívačka). Pro každý vzorek použít samostatný sáček s absorpční vložkou.</w:t>
      </w:r>
    </w:p>
    <w:p w:rsidR="003B7342" w:rsidRDefault="003B7342" w:rsidP="003B7342">
      <w:pPr>
        <w:pStyle w:val="Odstavecseseznamem"/>
        <w:numPr>
          <w:ilvl w:val="1"/>
          <w:numId w:val="4"/>
        </w:numPr>
        <w:jc w:val="both"/>
      </w:pPr>
      <w:r>
        <w:rPr>
          <w:b/>
        </w:rPr>
        <w:t>třetí vrstva</w:t>
      </w:r>
      <w:r w:rsidRPr="003B7342">
        <w:t>:</w:t>
      </w:r>
      <w:r>
        <w:t xml:space="preserve"> pevné vnější balení odpovídající velikosti - chrání druhou</w:t>
      </w:r>
      <w:r w:rsidR="00087B8A">
        <w:t xml:space="preserve"> vrstvu</w:t>
      </w:r>
      <w:r>
        <w:t xml:space="preserve"> od fy</w:t>
      </w:r>
      <w:r w:rsidR="00087B8A">
        <w:t>zických vlivů během transportu.</w:t>
      </w:r>
    </w:p>
    <w:p w:rsidR="00D26762" w:rsidRDefault="00087B8A" w:rsidP="003B7342">
      <w:pPr>
        <w:pStyle w:val="Odstavecseseznamem"/>
        <w:numPr>
          <w:ilvl w:val="0"/>
          <w:numId w:val="4"/>
        </w:numPr>
        <w:jc w:val="both"/>
      </w:pPr>
      <w:r>
        <w:t xml:space="preserve">dopravit </w:t>
      </w:r>
      <w:r w:rsidR="003B7342">
        <w:t>na</w:t>
      </w:r>
      <w:r w:rsidR="00D26762" w:rsidRPr="00192D04">
        <w:t xml:space="preserve"> pracoviště Brno, Veveří 39, Cytogenetická l</w:t>
      </w:r>
      <w:r w:rsidR="00192D04">
        <w:t xml:space="preserve">aboratoř Brno, </w:t>
      </w:r>
      <w:proofErr w:type="spellStart"/>
      <w:r w:rsidR="00192D04">
        <w:t>s.r.o</w:t>
      </w:r>
      <w:proofErr w:type="spellEnd"/>
      <w:r w:rsidR="00192D04">
        <w:t>, 2. patro.</w:t>
      </w:r>
    </w:p>
    <w:p w:rsidR="009477E1" w:rsidRDefault="009477E1" w:rsidP="009477E1">
      <w:pPr>
        <w:jc w:val="both"/>
      </w:pPr>
    </w:p>
    <w:p w:rsidR="009477E1" w:rsidRDefault="009477E1" w:rsidP="009477E1">
      <w:pPr>
        <w:jc w:val="both"/>
        <w:rPr>
          <w:b/>
          <w:u w:val="single"/>
        </w:rPr>
      </w:pPr>
      <w:r w:rsidRPr="009477E1">
        <w:rPr>
          <w:b/>
          <w:u w:val="single"/>
        </w:rPr>
        <w:t>Výsledky vyšetření:</w:t>
      </w:r>
    </w:p>
    <w:p w:rsidR="00973717" w:rsidRDefault="00973717" w:rsidP="009477E1">
      <w:pPr>
        <w:pStyle w:val="Odstavecseseznamem"/>
        <w:numPr>
          <w:ilvl w:val="0"/>
          <w:numId w:val="5"/>
        </w:numPr>
        <w:jc w:val="both"/>
      </w:pPr>
      <w:r>
        <w:t>O v</w:t>
      </w:r>
      <w:r w:rsidR="009477E1">
        <w:t>ýsledk</w:t>
      </w:r>
      <w:r>
        <w:t>u</w:t>
      </w:r>
      <w:r w:rsidR="009477E1">
        <w:t xml:space="preserve"> vyšetření </w:t>
      </w:r>
      <w:r w:rsidR="00087B8A">
        <w:t xml:space="preserve">bude informován </w:t>
      </w:r>
      <w:r w:rsidR="009477E1">
        <w:t>indikující lékař</w:t>
      </w:r>
      <w:r>
        <w:t xml:space="preserve"> výsledkovou zprávu</w:t>
      </w:r>
    </w:p>
    <w:p w:rsidR="00973717" w:rsidRDefault="00973717" w:rsidP="009477E1">
      <w:pPr>
        <w:pStyle w:val="Odstavecseseznamem"/>
        <w:numPr>
          <w:ilvl w:val="0"/>
          <w:numId w:val="5"/>
        </w:numPr>
        <w:jc w:val="both"/>
      </w:pPr>
      <w:r>
        <w:t>Všechny pozitivní výsledky budou zasílány do registru COVID</w:t>
      </w:r>
    </w:p>
    <w:p w:rsidR="00973717" w:rsidRDefault="00973717" w:rsidP="00973717">
      <w:pPr>
        <w:jc w:val="both"/>
      </w:pPr>
    </w:p>
    <w:p w:rsidR="00973717" w:rsidRDefault="00973717" w:rsidP="00973717">
      <w:pPr>
        <w:jc w:val="both"/>
      </w:pPr>
    </w:p>
    <w:p w:rsidR="0075289C" w:rsidRDefault="0075289C" w:rsidP="00973717">
      <w:pPr>
        <w:jc w:val="both"/>
        <w:rPr>
          <w:b/>
          <w:u w:val="single"/>
        </w:rPr>
      </w:pPr>
    </w:p>
    <w:p w:rsidR="0075289C" w:rsidRPr="00A600EF" w:rsidRDefault="0075289C" w:rsidP="0075289C">
      <w:pPr>
        <w:pStyle w:val="Normlnweb"/>
        <w:shd w:val="clear" w:color="auto" w:fill="FFFFFF"/>
        <w:spacing w:before="120" w:beforeAutospacing="0" w:after="120" w:afterAutospacing="0"/>
        <w:jc w:val="both"/>
        <w:rPr>
          <w:color w:val="000000"/>
        </w:rPr>
      </w:pPr>
      <w:r w:rsidRPr="00A600EF">
        <w:rPr>
          <w:rStyle w:val="Siln"/>
          <w:color w:val="000000"/>
        </w:rPr>
        <w:t xml:space="preserve">Doporučený postup při provádění </w:t>
      </w:r>
      <w:proofErr w:type="spellStart"/>
      <w:r w:rsidRPr="00A600EF">
        <w:rPr>
          <w:rStyle w:val="Siln"/>
          <w:color w:val="000000"/>
        </w:rPr>
        <w:t>nazofaryngeálního</w:t>
      </w:r>
      <w:proofErr w:type="spellEnd"/>
      <w:r w:rsidRPr="00A600EF">
        <w:rPr>
          <w:rStyle w:val="Siln"/>
          <w:color w:val="000000"/>
        </w:rPr>
        <w:t xml:space="preserve"> výtěru:</w:t>
      </w:r>
    </w:p>
    <w:p w:rsidR="0075289C" w:rsidRPr="00A600EF" w:rsidRDefault="0075289C" w:rsidP="0075289C">
      <w:pPr>
        <w:numPr>
          <w:ilvl w:val="0"/>
          <w:numId w:val="6"/>
        </w:numPr>
        <w:shd w:val="clear" w:color="auto" w:fill="FFFFFF"/>
        <w:spacing w:before="100" w:beforeAutospacing="1" w:after="100" w:afterAutospacing="1"/>
        <w:jc w:val="both"/>
        <w:rPr>
          <w:color w:val="000000"/>
        </w:rPr>
      </w:pPr>
      <w:r w:rsidRPr="00A600EF">
        <w:rPr>
          <w:color w:val="000000"/>
        </w:rPr>
        <w:t xml:space="preserve">Manipulace s odběrovou soupravou musí být prováděna </w:t>
      </w:r>
      <w:r w:rsidRPr="00A600EF">
        <w:rPr>
          <w:b/>
          <w:color w:val="000000"/>
        </w:rPr>
        <w:t>za sterilních podmínek</w:t>
      </w:r>
      <w:r w:rsidRPr="00A600EF">
        <w:rPr>
          <w:color w:val="000000"/>
        </w:rPr>
        <w:t>.</w:t>
      </w:r>
    </w:p>
    <w:p w:rsidR="0075289C" w:rsidRPr="00A600EF" w:rsidRDefault="0075289C" w:rsidP="0075289C">
      <w:pPr>
        <w:numPr>
          <w:ilvl w:val="0"/>
          <w:numId w:val="6"/>
        </w:numPr>
        <w:shd w:val="clear" w:color="auto" w:fill="FFFFFF"/>
        <w:spacing w:before="100" w:beforeAutospacing="1" w:after="100" w:afterAutospacing="1"/>
        <w:jc w:val="both"/>
        <w:rPr>
          <w:color w:val="000000"/>
        </w:rPr>
      </w:pPr>
      <w:r w:rsidRPr="00A600EF">
        <w:rPr>
          <w:color w:val="000000"/>
        </w:rPr>
        <w:t xml:space="preserve">Odběrovou soupravu tvoří </w:t>
      </w:r>
      <w:r w:rsidRPr="00A600EF">
        <w:rPr>
          <w:b/>
          <w:color w:val="000000"/>
        </w:rPr>
        <w:t>dva vatové tampony, záznamová karta a zkumavka s virologickým odběrovým médiem.</w:t>
      </w:r>
      <w:r w:rsidRPr="00A600EF">
        <w:rPr>
          <w:color w:val="000000"/>
        </w:rPr>
        <w:t xml:space="preserve"> Odběrové médium se uchovává </w:t>
      </w:r>
      <w:r w:rsidRPr="00F36700">
        <w:rPr>
          <w:color w:val="FF0000"/>
        </w:rPr>
        <w:t>v</w:t>
      </w:r>
      <w:r w:rsidR="00F36700" w:rsidRPr="00F36700">
        <w:rPr>
          <w:color w:val="FF0000"/>
        </w:rPr>
        <w:t xml:space="preserve"> ledničce</w:t>
      </w:r>
      <w:r w:rsidRPr="00F36700">
        <w:rPr>
          <w:color w:val="FF0000"/>
        </w:rPr>
        <w:t xml:space="preserve"> </w:t>
      </w:r>
      <w:r w:rsidR="00F36700" w:rsidRPr="00F36700">
        <w:rPr>
          <w:color w:val="FF0000"/>
        </w:rPr>
        <w:t>při teplotě +2 až +8 °C</w:t>
      </w:r>
      <w:r w:rsidR="00F36700" w:rsidRPr="00A600EF">
        <w:rPr>
          <w:color w:val="000000"/>
        </w:rPr>
        <w:t>.</w:t>
      </w:r>
      <w:r w:rsidRPr="00A600EF">
        <w:rPr>
          <w:color w:val="000000"/>
        </w:rPr>
        <w:t xml:space="preserve"> Před odběrem je nutné médium rozmrazit tak, aby před použitím neobsahovalo kousky ledu.</w:t>
      </w:r>
    </w:p>
    <w:p w:rsidR="0075289C" w:rsidRPr="00A600EF" w:rsidRDefault="0075289C" w:rsidP="0075289C">
      <w:pPr>
        <w:numPr>
          <w:ilvl w:val="0"/>
          <w:numId w:val="6"/>
        </w:numPr>
        <w:shd w:val="clear" w:color="auto" w:fill="FFFFFF"/>
        <w:spacing w:before="100" w:beforeAutospacing="1" w:after="100" w:afterAutospacing="1"/>
        <w:jc w:val="both"/>
        <w:rPr>
          <w:color w:val="000000"/>
        </w:rPr>
      </w:pPr>
      <w:r w:rsidRPr="00A600EF">
        <w:rPr>
          <w:color w:val="000000"/>
        </w:rPr>
        <w:t>Největší výtěžnost má odběr v akutní fázi infekce, tj. v prvních třech až čtyřech dnech od rozvoje klinických příznaků onemocnění.</w:t>
      </w:r>
    </w:p>
    <w:p w:rsidR="0075289C" w:rsidRPr="00A600EF" w:rsidRDefault="0075289C" w:rsidP="0075289C">
      <w:pPr>
        <w:numPr>
          <w:ilvl w:val="0"/>
          <w:numId w:val="6"/>
        </w:numPr>
        <w:shd w:val="clear" w:color="auto" w:fill="FFFFFF"/>
        <w:spacing w:before="100" w:beforeAutospacing="1" w:after="100" w:afterAutospacing="1"/>
        <w:jc w:val="both"/>
        <w:rPr>
          <w:color w:val="000000"/>
        </w:rPr>
      </w:pPr>
      <w:r w:rsidRPr="00A600EF">
        <w:rPr>
          <w:color w:val="000000"/>
        </w:rPr>
        <w:t xml:space="preserve">Výtěr je nejlépe provést po ránu nalačno, bez předchozího používání kloktadel a jiných </w:t>
      </w:r>
      <w:proofErr w:type="spellStart"/>
      <w:r w:rsidRPr="00A600EF">
        <w:rPr>
          <w:color w:val="000000"/>
        </w:rPr>
        <w:t>dezinficiencií</w:t>
      </w:r>
      <w:proofErr w:type="spellEnd"/>
      <w:r w:rsidRPr="00A600EF">
        <w:rPr>
          <w:color w:val="000000"/>
        </w:rPr>
        <w:t>, které zkreslují laboratorní vyšetření. Totéž mohou způsobovat některé zubní pasty.</w:t>
      </w:r>
    </w:p>
    <w:p w:rsidR="0075289C" w:rsidRPr="00A600EF" w:rsidRDefault="0075289C" w:rsidP="0075289C">
      <w:pPr>
        <w:numPr>
          <w:ilvl w:val="0"/>
          <w:numId w:val="6"/>
        </w:numPr>
        <w:shd w:val="clear" w:color="auto" w:fill="FFFFFF"/>
        <w:spacing w:before="100" w:beforeAutospacing="1" w:after="100" w:afterAutospacing="1"/>
        <w:jc w:val="both"/>
        <w:rPr>
          <w:color w:val="000000"/>
        </w:rPr>
      </w:pPr>
      <w:r w:rsidRPr="00A600EF">
        <w:rPr>
          <w:color w:val="000000"/>
        </w:rPr>
        <w:t>Pacienta před výtěrem necháme zakašlat. Jedním vatovým tamponem provedeme stěr zadní stěny nosohltanu krouživým pohybem tak, aby se setřelo co nejvíce epiteliálních buněk. Je nutné se vyhnout mandlím! Tampon vložíme do virologického odběrového média a asi uprostřed špejli zalomíme o okraj zkumavky. Druhým tamponem vytřeme obě nosní dírky a špejli opět zalomíme o okraj téže zkumavky (co možná nejmenší naředění výtěru).</w:t>
      </w:r>
    </w:p>
    <w:p w:rsidR="0075289C" w:rsidRPr="00A600EF" w:rsidRDefault="0075289C" w:rsidP="0075289C">
      <w:pPr>
        <w:numPr>
          <w:ilvl w:val="0"/>
          <w:numId w:val="6"/>
        </w:numPr>
        <w:shd w:val="clear" w:color="auto" w:fill="FFFFFF"/>
        <w:spacing w:before="100" w:beforeAutospacing="1" w:after="100" w:afterAutospacing="1"/>
        <w:jc w:val="both"/>
        <w:rPr>
          <w:color w:val="000000"/>
        </w:rPr>
      </w:pPr>
      <w:r w:rsidRPr="00A600EF">
        <w:rPr>
          <w:b/>
          <w:color w:val="000000"/>
        </w:rPr>
        <w:t>Provedeme přesný zápis údajů do záznamové karty</w:t>
      </w:r>
      <w:r w:rsidRPr="00A600EF">
        <w:rPr>
          <w:color w:val="000000"/>
        </w:rPr>
        <w:t>, tj. jméno, rodné číslo pacienta, kód zdravotní pojišťovny, všechny symptomy choroby, dosavadní terapii, jméno a odbornost a IČZ odesílajícího lékaře a jeho telefon.</w:t>
      </w:r>
    </w:p>
    <w:p w:rsidR="0075289C" w:rsidRPr="00A600EF" w:rsidRDefault="0075289C" w:rsidP="0075289C">
      <w:pPr>
        <w:numPr>
          <w:ilvl w:val="0"/>
          <w:numId w:val="6"/>
        </w:numPr>
        <w:shd w:val="clear" w:color="auto" w:fill="FFFFFF"/>
        <w:spacing w:before="100" w:beforeAutospacing="1" w:after="100" w:afterAutospacing="1"/>
        <w:jc w:val="both"/>
        <w:rPr>
          <w:color w:val="000000"/>
        </w:rPr>
      </w:pPr>
      <w:r w:rsidRPr="00F36700">
        <w:rPr>
          <w:rStyle w:val="Siln"/>
          <w:color w:val="FF0000"/>
        </w:rPr>
        <w:t>Výtěr v odběrovém médiu ihned uložíme do chladničky</w:t>
      </w:r>
      <w:r w:rsidRPr="00F36700">
        <w:rPr>
          <w:color w:val="FF0000"/>
        </w:rPr>
        <w:t>  při teplotě +2 až +8 °C</w:t>
      </w:r>
      <w:r w:rsidRPr="00A600EF">
        <w:rPr>
          <w:color w:val="000000"/>
        </w:rPr>
        <w:t xml:space="preserve">. </w:t>
      </w:r>
      <w:r w:rsidRPr="00A600EF">
        <w:rPr>
          <w:b/>
          <w:color w:val="000000"/>
        </w:rPr>
        <w:t>Ideálně co nejrychlej</w:t>
      </w:r>
      <w:r w:rsidR="00F36700">
        <w:rPr>
          <w:b/>
          <w:color w:val="000000"/>
        </w:rPr>
        <w:t xml:space="preserve">i materiál transportovat do </w:t>
      </w:r>
      <w:r w:rsidRPr="00A600EF">
        <w:rPr>
          <w:b/>
          <w:color w:val="000000"/>
        </w:rPr>
        <w:t>laboratoře</w:t>
      </w:r>
      <w:r w:rsidRPr="00A600EF">
        <w:rPr>
          <w:color w:val="000000"/>
        </w:rPr>
        <w:t xml:space="preserve">. Pokud se do laboratoře dostane do 72 hodin, není nutné materiál </w:t>
      </w:r>
      <w:proofErr w:type="spellStart"/>
      <w:r w:rsidRPr="00A600EF">
        <w:rPr>
          <w:color w:val="000000"/>
        </w:rPr>
        <w:t>zamražovat</w:t>
      </w:r>
      <w:proofErr w:type="spellEnd"/>
      <w:r w:rsidRPr="00A600EF">
        <w:rPr>
          <w:color w:val="000000"/>
        </w:rPr>
        <w:t>, ale je  nutné důsledně uchovávat při teplotě +2 až +8 °C i během transportu. Nad 72 hodin materiál zamrazíme při teplotě nejméně -18°C. Při následném transportu je nutné udržovat stejnou teplotu, při které byl materiál zamražen.</w:t>
      </w:r>
    </w:p>
    <w:p w:rsidR="0075289C" w:rsidRPr="00A600EF" w:rsidRDefault="0075289C" w:rsidP="00973717">
      <w:pPr>
        <w:jc w:val="both"/>
        <w:rPr>
          <w:b/>
          <w:u w:val="single"/>
        </w:rPr>
      </w:pPr>
      <w:r w:rsidRPr="00A600EF">
        <w:rPr>
          <w:color w:val="000000"/>
          <w:shd w:val="clear" w:color="auto" w:fill="FFFFFF"/>
        </w:rPr>
        <w:t xml:space="preserve">Doporučené metody ve virologické diagnostice, tj. stručné návody pro odběr, uchovávání, transport, zpracování a volbu nejvhodnějšího typu vyšetření a s tím spojeného způsobu odběru klinického materiálu je uveden v Acta </w:t>
      </w:r>
      <w:proofErr w:type="spellStart"/>
      <w:r w:rsidRPr="00A600EF">
        <w:rPr>
          <w:color w:val="000000"/>
          <w:shd w:val="clear" w:color="auto" w:fill="FFFFFF"/>
        </w:rPr>
        <w:t>hygienica</w:t>
      </w:r>
      <w:proofErr w:type="spellEnd"/>
      <w:r w:rsidRPr="00A600EF">
        <w:rPr>
          <w:color w:val="000000"/>
          <w:shd w:val="clear" w:color="auto" w:fill="FFFFFF"/>
        </w:rPr>
        <w:t xml:space="preserve">, </w:t>
      </w:r>
      <w:proofErr w:type="spellStart"/>
      <w:r w:rsidRPr="00A600EF">
        <w:rPr>
          <w:color w:val="000000"/>
          <w:shd w:val="clear" w:color="auto" w:fill="FFFFFF"/>
        </w:rPr>
        <w:t>epidemiologica</w:t>
      </w:r>
      <w:proofErr w:type="spellEnd"/>
      <w:r w:rsidRPr="00A600EF">
        <w:rPr>
          <w:color w:val="000000"/>
          <w:shd w:val="clear" w:color="auto" w:fill="FFFFFF"/>
        </w:rPr>
        <w:t xml:space="preserve"> et </w:t>
      </w:r>
      <w:proofErr w:type="spellStart"/>
      <w:r w:rsidRPr="00A600EF">
        <w:rPr>
          <w:color w:val="000000"/>
          <w:shd w:val="clear" w:color="auto" w:fill="FFFFFF"/>
        </w:rPr>
        <w:t>microbiologica</w:t>
      </w:r>
      <w:proofErr w:type="spellEnd"/>
      <w:r w:rsidRPr="00A600EF">
        <w:rPr>
          <w:color w:val="000000"/>
          <w:shd w:val="clear" w:color="auto" w:fill="FFFFFF"/>
        </w:rPr>
        <w:t xml:space="preserve"> (AHEM) č. 1/2000.</w:t>
      </w:r>
    </w:p>
    <w:p w:rsidR="009477E1" w:rsidRDefault="009477E1" w:rsidP="00973717">
      <w:pPr>
        <w:pStyle w:val="Odstavecseseznamem"/>
        <w:ind w:left="1440"/>
        <w:jc w:val="both"/>
      </w:pPr>
    </w:p>
    <w:p w:rsidR="00973717" w:rsidRPr="009477E1" w:rsidRDefault="00973717" w:rsidP="00973717">
      <w:pPr>
        <w:pStyle w:val="Odstavecseseznamem"/>
        <w:ind w:left="1440"/>
        <w:jc w:val="both"/>
      </w:pPr>
      <w:bookmarkStart w:id="0" w:name="_GoBack"/>
      <w:bookmarkEnd w:id="0"/>
    </w:p>
    <w:sectPr w:rsidR="00973717" w:rsidRPr="00947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5E4B"/>
    <w:multiLevelType w:val="hybridMultilevel"/>
    <w:tmpl w:val="776E3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E566FEB"/>
    <w:multiLevelType w:val="hybridMultilevel"/>
    <w:tmpl w:val="B59825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19454A8"/>
    <w:multiLevelType w:val="hybridMultilevel"/>
    <w:tmpl w:val="E3B2D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1A20AF4"/>
    <w:multiLevelType w:val="multilevel"/>
    <w:tmpl w:val="C750C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CF1F3D"/>
    <w:multiLevelType w:val="hybridMultilevel"/>
    <w:tmpl w:val="2D522D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DB3B35"/>
    <w:multiLevelType w:val="hybridMultilevel"/>
    <w:tmpl w:val="CCC423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63"/>
    <w:rsid w:val="0004232B"/>
    <w:rsid w:val="00087B8A"/>
    <w:rsid w:val="000C69A3"/>
    <w:rsid w:val="000D43D4"/>
    <w:rsid w:val="001529F4"/>
    <w:rsid w:val="0015327F"/>
    <w:rsid w:val="00192D04"/>
    <w:rsid w:val="00270863"/>
    <w:rsid w:val="0036218B"/>
    <w:rsid w:val="003B7342"/>
    <w:rsid w:val="003C7790"/>
    <w:rsid w:val="00496266"/>
    <w:rsid w:val="004D0DAD"/>
    <w:rsid w:val="004D1CF4"/>
    <w:rsid w:val="004D749C"/>
    <w:rsid w:val="005054E2"/>
    <w:rsid w:val="00517C08"/>
    <w:rsid w:val="005B1E63"/>
    <w:rsid w:val="006335F2"/>
    <w:rsid w:val="006400A9"/>
    <w:rsid w:val="00751167"/>
    <w:rsid w:val="0075289C"/>
    <w:rsid w:val="0079314E"/>
    <w:rsid w:val="00846C99"/>
    <w:rsid w:val="0090345E"/>
    <w:rsid w:val="009477E1"/>
    <w:rsid w:val="00973717"/>
    <w:rsid w:val="009D5ED3"/>
    <w:rsid w:val="00A04BB7"/>
    <w:rsid w:val="00A33B02"/>
    <w:rsid w:val="00A600EF"/>
    <w:rsid w:val="00AC7D06"/>
    <w:rsid w:val="00C101F4"/>
    <w:rsid w:val="00C144A5"/>
    <w:rsid w:val="00C44B0A"/>
    <w:rsid w:val="00D26762"/>
    <w:rsid w:val="00E718E2"/>
    <w:rsid w:val="00E763EC"/>
    <w:rsid w:val="00E84353"/>
    <w:rsid w:val="00F36700"/>
    <w:rsid w:val="00F87F3F"/>
    <w:rsid w:val="00FF3B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1E6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5B1E63"/>
    <w:rPr>
      <w:color w:val="0000FF"/>
      <w:u w:val="single"/>
    </w:rPr>
  </w:style>
  <w:style w:type="paragraph" w:styleId="Textbubliny">
    <w:name w:val="Balloon Text"/>
    <w:basedOn w:val="Normln"/>
    <w:link w:val="TextbublinyChar"/>
    <w:uiPriority w:val="99"/>
    <w:semiHidden/>
    <w:unhideWhenUsed/>
    <w:rsid w:val="005B1E63"/>
    <w:rPr>
      <w:rFonts w:ascii="Tahoma" w:hAnsi="Tahoma" w:cs="Tahoma"/>
      <w:sz w:val="16"/>
      <w:szCs w:val="16"/>
    </w:rPr>
  </w:style>
  <w:style w:type="character" w:customStyle="1" w:styleId="TextbublinyChar">
    <w:name w:val="Text bubliny Char"/>
    <w:basedOn w:val="Standardnpsmoodstavce"/>
    <w:link w:val="Textbubliny"/>
    <w:uiPriority w:val="99"/>
    <w:semiHidden/>
    <w:rsid w:val="005B1E63"/>
    <w:rPr>
      <w:rFonts w:ascii="Tahoma" w:eastAsia="Times New Roman" w:hAnsi="Tahoma" w:cs="Tahoma"/>
      <w:sz w:val="16"/>
      <w:szCs w:val="16"/>
      <w:lang w:eastAsia="cs-CZ"/>
    </w:rPr>
  </w:style>
  <w:style w:type="table" w:styleId="Mkatabulky">
    <w:name w:val="Table Grid"/>
    <w:basedOn w:val="Normlntabulka"/>
    <w:uiPriority w:val="59"/>
    <w:rsid w:val="005B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6218B"/>
    <w:pPr>
      <w:ind w:left="720"/>
      <w:contextualSpacing/>
    </w:pPr>
  </w:style>
  <w:style w:type="paragraph" w:styleId="Normlnweb">
    <w:name w:val="Normal (Web)"/>
    <w:basedOn w:val="Normln"/>
    <w:uiPriority w:val="99"/>
    <w:semiHidden/>
    <w:unhideWhenUsed/>
    <w:rsid w:val="0075289C"/>
    <w:pPr>
      <w:spacing w:before="100" w:beforeAutospacing="1" w:after="100" w:afterAutospacing="1"/>
    </w:pPr>
  </w:style>
  <w:style w:type="character" w:styleId="Siln">
    <w:name w:val="Strong"/>
    <w:basedOn w:val="Standardnpsmoodstavce"/>
    <w:uiPriority w:val="22"/>
    <w:qFormat/>
    <w:rsid w:val="007528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1E6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5B1E63"/>
    <w:rPr>
      <w:color w:val="0000FF"/>
      <w:u w:val="single"/>
    </w:rPr>
  </w:style>
  <w:style w:type="paragraph" w:styleId="Textbubliny">
    <w:name w:val="Balloon Text"/>
    <w:basedOn w:val="Normln"/>
    <w:link w:val="TextbublinyChar"/>
    <w:uiPriority w:val="99"/>
    <w:semiHidden/>
    <w:unhideWhenUsed/>
    <w:rsid w:val="005B1E63"/>
    <w:rPr>
      <w:rFonts w:ascii="Tahoma" w:hAnsi="Tahoma" w:cs="Tahoma"/>
      <w:sz w:val="16"/>
      <w:szCs w:val="16"/>
    </w:rPr>
  </w:style>
  <w:style w:type="character" w:customStyle="1" w:styleId="TextbublinyChar">
    <w:name w:val="Text bubliny Char"/>
    <w:basedOn w:val="Standardnpsmoodstavce"/>
    <w:link w:val="Textbubliny"/>
    <w:uiPriority w:val="99"/>
    <w:semiHidden/>
    <w:rsid w:val="005B1E63"/>
    <w:rPr>
      <w:rFonts w:ascii="Tahoma" w:eastAsia="Times New Roman" w:hAnsi="Tahoma" w:cs="Tahoma"/>
      <w:sz w:val="16"/>
      <w:szCs w:val="16"/>
      <w:lang w:eastAsia="cs-CZ"/>
    </w:rPr>
  </w:style>
  <w:style w:type="table" w:styleId="Mkatabulky">
    <w:name w:val="Table Grid"/>
    <w:basedOn w:val="Normlntabulka"/>
    <w:uiPriority w:val="59"/>
    <w:rsid w:val="005B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6218B"/>
    <w:pPr>
      <w:ind w:left="720"/>
      <w:contextualSpacing/>
    </w:pPr>
  </w:style>
  <w:style w:type="paragraph" w:styleId="Normlnweb">
    <w:name w:val="Normal (Web)"/>
    <w:basedOn w:val="Normln"/>
    <w:uiPriority w:val="99"/>
    <w:semiHidden/>
    <w:unhideWhenUsed/>
    <w:rsid w:val="0075289C"/>
    <w:pPr>
      <w:spacing w:before="100" w:beforeAutospacing="1" w:after="100" w:afterAutospacing="1"/>
    </w:pPr>
  </w:style>
  <w:style w:type="character" w:styleId="Siln">
    <w:name w:val="Strong"/>
    <w:basedOn w:val="Standardnpsmoodstavce"/>
    <w:uiPriority w:val="22"/>
    <w:qFormat/>
    <w:rsid w:val="00752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058151">
      <w:bodyDiv w:val="1"/>
      <w:marLeft w:val="0"/>
      <w:marRight w:val="0"/>
      <w:marTop w:val="0"/>
      <w:marBottom w:val="0"/>
      <w:divBdr>
        <w:top w:val="none" w:sz="0" w:space="0" w:color="auto"/>
        <w:left w:val="none" w:sz="0" w:space="0" w:color="auto"/>
        <w:bottom w:val="none" w:sz="0" w:space="0" w:color="auto"/>
        <w:right w:val="none" w:sz="0" w:space="0" w:color="auto"/>
      </w:divBdr>
    </w:div>
    <w:div w:id="20242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togenetika@iol.cz" TargetMode="External"/><Relationship Id="rId3" Type="http://schemas.microsoft.com/office/2007/relationships/stylesWithEffects" Target="stylesWithEffects.xml"/><Relationship Id="rId7" Type="http://schemas.openxmlformats.org/officeDocument/2006/relationships/hyperlink" Target="http://www.cytogeneti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1498</TotalTime>
  <Pages>2</Pages>
  <Words>668</Words>
  <Characters>3942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2020-04-14T09:05:00Z</cp:lastPrinted>
  <dcterms:created xsi:type="dcterms:W3CDTF">2020-03-19T15:32:00Z</dcterms:created>
  <dcterms:modified xsi:type="dcterms:W3CDTF">2020-04-14T09:08:00Z</dcterms:modified>
</cp:coreProperties>
</file>